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4EF0" w:rsidRDefault="00DD4EF0" w:rsidP="00615492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u w:val="single"/>
        </w:rPr>
      </w:pPr>
      <w:r w:rsidRPr="001319F6">
        <w:rPr>
          <w:rFonts w:asciiTheme="majorBidi" w:hAnsiTheme="majorBidi" w:cstheme="majorBidi"/>
          <w:b/>
          <w:bCs/>
          <w:sz w:val="24"/>
          <w:szCs w:val="24"/>
          <w:u w:val="single"/>
        </w:rPr>
        <w:t>Figure, schemes  captions</w:t>
      </w:r>
    </w:p>
    <w:p w:rsidR="00DD4EF0" w:rsidRPr="008A1AE4" w:rsidRDefault="00DD4EF0" w:rsidP="00DD4EF0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pacing w:val="6"/>
          <w:sz w:val="24"/>
          <w:szCs w:val="24"/>
        </w:rPr>
      </w:pPr>
      <w:r w:rsidRPr="008A1AE4">
        <w:rPr>
          <w:rFonts w:asciiTheme="majorBidi" w:hAnsiTheme="majorBidi" w:cstheme="majorBidi"/>
          <w:b/>
          <w:bCs/>
          <w:spacing w:val="6"/>
          <w:sz w:val="24"/>
          <w:szCs w:val="24"/>
        </w:rPr>
        <w:t>Fig</w:t>
      </w:r>
      <w:r>
        <w:rPr>
          <w:rFonts w:asciiTheme="majorBidi" w:hAnsiTheme="majorBidi" w:cstheme="majorBidi"/>
          <w:b/>
          <w:bCs/>
          <w:spacing w:val="6"/>
          <w:sz w:val="24"/>
          <w:szCs w:val="24"/>
        </w:rPr>
        <w:t>.</w:t>
      </w:r>
      <w:r w:rsidRPr="008A1AE4">
        <w:rPr>
          <w:rFonts w:asciiTheme="majorBidi" w:hAnsiTheme="majorBidi" w:cstheme="majorBidi"/>
          <w:b/>
          <w:bCs/>
          <w:spacing w:val="6"/>
          <w:sz w:val="24"/>
          <w:szCs w:val="24"/>
        </w:rPr>
        <w:t xml:space="preserve"> 1.</w:t>
      </w:r>
      <w:r w:rsidR="006239DB">
        <w:rPr>
          <w:rFonts w:asciiTheme="majorBidi" w:hAnsiTheme="majorBidi" w:cstheme="majorBidi"/>
          <w:b/>
          <w:bCs/>
          <w:spacing w:val="6"/>
          <w:sz w:val="24"/>
          <w:szCs w:val="24"/>
        </w:rPr>
        <w:t xml:space="preserve"> </w:t>
      </w:r>
      <w:r w:rsidRPr="008A1AE4">
        <w:rPr>
          <w:rFonts w:asciiTheme="majorBidi" w:hAnsiTheme="majorBidi" w:cstheme="majorBidi"/>
          <w:spacing w:val="6"/>
          <w:sz w:val="24"/>
          <w:szCs w:val="24"/>
        </w:rPr>
        <w:t>Chemical structures of selective cyclooxygenase-2 (COX-2) inhibitor drugs (</w:t>
      </w:r>
      <w:r w:rsidRPr="008A1AE4">
        <w:rPr>
          <w:rFonts w:asciiTheme="majorBidi" w:hAnsiTheme="majorBidi" w:cstheme="majorBidi"/>
          <w:b/>
          <w:bCs/>
          <w:spacing w:val="6"/>
          <w:sz w:val="24"/>
          <w:szCs w:val="24"/>
        </w:rPr>
        <w:t>I, I</w:t>
      </w:r>
      <w:r>
        <w:rPr>
          <w:rFonts w:asciiTheme="majorBidi" w:hAnsiTheme="majorBidi" w:cstheme="majorBidi"/>
          <w:b/>
          <w:bCs/>
          <w:spacing w:val="6"/>
          <w:sz w:val="24"/>
          <w:szCs w:val="24"/>
        </w:rPr>
        <w:t>I</w:t>
      </w:r>
      <w:r w:rsidRPr="008A1AE4">
        <w:rPr>
          <w:rFonts w:asciiTheme="majorBidi" w:hAnsiTheme="majorBidi" w:cstheme="majorBidi"/>
          <w:b/>
          <w:bCs/>
          <w:spacing w:val="6"/>
          <w:sz w:val="24"/>
          <w:szCs w:val="24"/>
        </w:rPr>
        <w:t xml:space="preserve">, </w:t>
      </w:r>
      <w:r>
        <w:rPr>
          <w:rFonts w:asciiTheme="majorBidi" w:hAnsiTheme="majorBidi" w:cstheme="majorBidi"/>
          <w:b/>
          <w:bCs/>
          <w:spacing w:val="6"/>
          <w:sz w:val="24"/>
          <w:szCs w:val="24"/>
        </w:rPr>
        <w:t>III</w:t>
      </w:r>
      <w:r w:rsidRPr="008A1AE4">
        <w:rPr>
          <w:rFonts w:asciiTheme="majorBidi" w:hAnsiTheme="majorBidi" w:cstheme="majorBidi"/>
          <w:spacing w:val="6"/>
          <w:sz w:val="24"/>
          <w:szCs w:val="24"/>
        </w:rPr>
        <w:t>).</w:t>
      </w:r>
    </w:p>
    <w:p w:rsidR="00DD4EF0" w:rsidRDefault="00DD4EF0" w:rsidP="00DD4EF0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b/>
          <w:bCs/>
          <w:color w:val="231F20"/>
          <w:sz w:val="24"/>
          <w:szCs w:val="24"/>
        </w:rPr>
      </w:pPr>
      <w:r w:rsidRPr="008B7D6F">
        <w:rPr>
          <w:rFonts w:asciiTheme="majorBidi" w:hAnsiTheme="majorBidi" w:cstheme="majorBidi"/>
          <w:b/>
          <w:bCs/>
          <w:color w:val="231F20"/>
          <w:sz w:val="24"/>
          <w:szCs w:val="24"/>
        </w:rPr>
        <w:t>Fig</w:t>
      </w:r>
      <w:r>
        <w:rPr>
          <w:rFonts w:asciiTheme="majorBidi" w:hAnsiTheme="majorBidi" w:cstheme="majorBidi"/>
          <w:b/>
          <w:bCs/>
          <w:color w:val="231F20"/>
          <w:sz w:val="24"/>
          <w:szCs w:val="24"/>
        </w:rPr>
        <w:t>.</w:t>
      </w:r>
      <w:r w:rsidRPr="008B7D6F"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 2.</w:t>
      </w:r>
      <w:r w:rsidR="006239DB"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 </w:t>
      </w:r>
      <w:r w:rsidRPr="008B7D6F">
        <w:rPr>
          <w:rFonts w:asciiTheme="majorBidi" w:hAnsiTheme="majorBidi" w:cstheme="majorBidi"/>
          <w:color w:val="231F20"/>
          <w:sz w:val="24"/>
          <w:szCs w:val="24"/>
        </w:rPr>
        <w:t>Hybridization of chemical structures of indomethacin</w:t>
      </w:r>
      <w:r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 V</w:t>
      </w:r>
      <w:r w:rsidRPr="008B7D6F"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, </w:t>
      </w:r>
      <w:r w:rsidRPr="008B7D6F">
        <w:rPr>
          <w:rFonts w:asciiTheme="majorBidi" w:hAnsiTheme="majorBidi" w:cstheme="majorBidi"/>
          <w:color w:val="231F20"/>
          <w:sz w:val="24"/>
          <w:szCs w:val="24"/>
        </w:rPr>
        <w:t>celecoxib</w:t>
      </w:r>
      <w:r w:rsidRPr="008B7D6F"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 II, </w:t>
      </w:r>
      <w:r w:rsidRPr="008B7D6F">
        <w:rPr>
          <w:rFonts w:asciiTheme="majorBidi" w:hAnsiTheme="majorBidi" w:cstheme="majorBidi"/>
          <w:color w:val="231F20"/>
          <w:sz w:val="24"/>
          <w:szCs w:val="24"/>
        </w:rPr>
        <w:t>nitrofurantoin</w:t>
      </w:r>
      <w:r w:rsidRPr="008B7D6F"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 </w:t>
      </w:r>
      <w:r>
        <w:rPr>
          <w:rFonts w:asciiTheme="majorBidi" w:hAnsiTheme="majorBidi" w:cstheme="majorBidi"/>
          <w:b/>
          <w:bCs/>
          <w:color w:val="231F20"/>
          <w:sz w:val="24"/>
          <w:szCs w:val="24"/>
        </w:rPr>
        <w:t>I</w:t>
      </w:r>
      <w:r w:rsidRPr="008B7D6F"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V </w:t>
      </w:r>
      <w:r w:rsidRPr="008B7D6F">
        <w:rPr>
          <w:rFonts w:asciiTheme="majorBidi" w:hAnsiTheme="majorBidi" w:cstheme="majorBidi"/>
          <w:color w:val="231F20"/>
          <w:sz w:val="24"/>
          <w:szCs w:val="24"/>
        </w:rPr>
        <w:t>to design indole derivatives</w:t>
      </w:r>
      <w:r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 7a-k</w:t>
      </w:r>
      <w:r w:rsidRPr="008B7D6F">
        <w:rPr>
          <w:rFonts w:asciiTheme="majorBidi" w:hAnsiTheme="majorBidi" w:cstheme="majorBidi"/>
          <w:b/>
          <w:bCs/>
          <w:color w:val="231F20"/>
          <w:sz w:val="24"/>
          <w:szCs w:val="24"/>
        </w:rPr>
        <w:t>, 8a-c</w:t>
      </w:r>
      <w:r>
        <w:rPr>
          <w:rFonts w:asciiTheme="majorBidi" w:hAnsiTheme="majorBidi" w:cstheme="majorBidi"/>
          <w:b/>
          <w:bCs/>
          <w:color w:val="231F20"/>
          <w:sz w:val="24"/>
          <w:szCs w:val="24"/>
        </w:rPr>
        <w:t>,</w:t>
      </w:r>
      <w:r w:rsidRPr="008B7D6F">
        <w:rPr>
          <w:rFonts w:asciiTheme="majorBidi" w:hAnsiTheme="majorBidi" w:cstheme="majorBidi"/>
          <w:b/>
          <w:bCs/>
          <w:color w:val="231F20"/>
          <w:sz w:val="24"/>
          <w:szCs w:val="24"/>
        </w:rPr>
        <w:t xml:space="preserve"> and 9a-c. </w:t>
      </w:r>
    </w:p>
    <w:p w:rsidR="00DD4EF0" w:rsidRPr="008A1AE4" w:rsidRDefault="00DD4EF0" w:rsidP="00387CB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AE4">
        <w:rPr>
          <w:rFonts w:asciiTheme="majorBidi" w:hAnsiTheme="majorBidi" w:cstheme="majorBidi"/>
          <w:b/>
          <w:bCs/>
          <w:color w:val="231F20"/>
          <w:sz w:val="24"/>
          <w:szCs w:val="24"/>
        </w:rPr>
        <w:t>Fig</w:t>
      </w:r>
      <w:r>
        <w:rPr>
          <w:rFonts w:asciiTheme="majorBidi" w:hAnsiTheme="majorBidi" w:cstheme="majorBidi"/>
          <w:b/>
          <w:bCs/>
          <w:color w:val="231F20"/>
          <w:sz w:val="24"/>
          <w:szCs w:val="24"/>
        </w:rPr>
        <w:t>.</w:t>
      </w:r>
      <w:r w:rsidRPr="008A1A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7CB1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8A1AE4">
        <w:rPr>
          <w:rFonts w:ascii="Times New Roman" w:hAnsi="Times New Roman" w:cs="Times New Roman"/>
          <w:sz w:val="24"/>
          <w:szCs w:val="24"/>
        </w:rPr>
        <w:t>.</w:t>
      </w:r>
      <w:r w:rsidR="006239DB">
        <w:rPr>
          <w:rFonts w:ascii="Times New Roman" w:hAnsi="Times New Roman" w:cs="Times New Roman"/>
          <w:sz w:val="24"/>
          <w:szCs w:val="24"/>
        </w:rPr>
        <w:t xml:space="preserve"> </w:t>
      </w:r>
      <w:r w:rsidRPr="008A1AE4">
        <w:rPr>
          <w:rFonts w:ascii="Times New Roman" w:hAnsi="Times New Roman" w:cs="Times New Roman"/>
          <w:sz w:val="24"/>
          <w:szCs w:val="24"/>
        </w:rPr>
        <w:t>Binding of celecoxib inside COX-2 active site.</w:t>
      </w:r>
      <w:r w:rsidRPr="008A1AE4">
        <w:rPr>
          <w:rFonts w:ascii="Times New Roman" w:hAnsi="Times New Roman" w:cs="Times New Roman"/>
          <w:b/>
          <w:bCs/>
          <w:sz w:val="24"/>
          <w:szCs w:val="24"/>
        </w:rPr>
        <w:t xml:space="preserve"> a)</w:t>
      </w:r>
      <w:r w:rsidRPr="008A1A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2D interaction, </w:t>
      </w:r>
      <w:r w:rsidRPr="0024354C">
        <w:rPr>
          <w:rFonts w:ascii="Times New Roman" w:hAnsi="Times New Roman" w:cs="Times New Roman"/>
          <w:sz w:val="24"/>
          <w:szCs w:val="24"/>
        </w:rPr>
        <w:t>the most important amino acids are shown together with their respective numbers.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24354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24354C">
        <w:rPr>
          <w:rFonts w:ascii="Times New Roman" w:hAnsi="Times New Roman" w:cs="Times New Roman"/>
          <w:sz w:val="24"/>
          <w:szCs w:val="24"/>
        </w:rPr>
        <w:t xml:space="preserve"> The 3D proposed binding mode inside the active site o</w:t>
      </w:r>
      <w:r>
        <w:rPr>
          <w:rFonts w:ascii="Times New Roman" w:hAnsi="Times New Roman" w:cs="Times New Roman"/>
          <w:sz w:val="24"/>
          <w:szCs w:val="24"/>
        </w:rPr>
        <w:t>f COX-2 resulted from docking.</w:t>
      </w:r>
    </w:p>
    <w:p w:rsidR="00DD4EF0" w:rsidRPr="008A1AE4" w:rsidRDefault="00DD4EF0" w:rsidP="00387CB1">
      <w:pPr>
        <w:spacing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A1AE4">
        <w:rPr>
          <w:rFonts w:asciiTheme="majorBidi" w:hAnsiTheme="majorBidi" w:cstheme="majorBidi"/>
          <w:b/>
          <w:bCs/>
          <w:color w:val="231F20"/>
          <w:sz w:val="24"/>
          <w:szCs w:val="24"/>
        </w:rPr>
        <w:t>Fig</w:t>
      </w:r>
      <w:r>
        <w:rPr>
          <w:rFonts w:asciiTheme="majorBidi" w:hAnsiTheme="majorBidi" w:cstheme="majorBidi"/>
          <w:b/>
          <w:bCs/>
          <w:color w:val="231F20"/>
          <w:sz w:val="24"/>
          <w:szCs w:val="24"/>
        </w:rPr>
        <w:t>.</w:t>
      </w:r>
      <w:r w:rsidRPr="008A1AE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87CB1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8A1AE4">
        <w:rPr>
          <w:rFonts w:ascii="Times New Roman" w:hAnsi="Times New Roman" w:cs="Times New Roman"/>
          <w:sz w:val="24"/>
          <w:szCs w:val="24"/>
        </w:rPr>
        <w:t>.</w:t>
      </w:r>
      <w:r w:rsidR="006239DB">
        <w:rPr>
          <w:rFonts w:ascii="Times New Roman" w:hAnsi="Times New Roman" w:cs="Times New Roman"/>
          <w:sz w:val="24"/>
          <w:szCs w:val="24"/>
        </w:rPr>
        <w:t xml:space="preserve"> </w:t>
      </w:r>
      <w:r w:rsidRPr="008A1AE4">
        <w:rPr>
          <w:rFonts w:ascii="Times New Roman" w:hAnsi="Times New Roman" w:cs="Times New Roman"/>
          <w:sz w:val="24"/>
          <w:szCs w:val="24"/>
        </w:rPr>
        <w:t>Binding of compound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7b</w:t>
      </w:r>
      <w:r w:rsidRPr="008A1AE4">
        <w:rPr>
          <w:rFonts w:ascii="Times New Roman" w:hAnsi="Times New Roman" w:cs="Times New Roman"/>
          <w:sz w:val="24"/>
          <w:szCs w:val="24"/>
        </w:rPr>
        <w:t xml:space="preserve"> inside COX-2 active site.</w:t>
      </w:r>
      <w:r w:rsidRPr="008A1AE4">
        <w:rPr>
          <w:rFonts w:ascii="Times New Roman" w:hAnsi="Times New Roman" w:cs="Times New Roman"/>
          <w:b/>
          <w:bCs/>
          <w:sz w:val="24"/>
          <w:szCs w:val="24"/>
        </w:rPr>
        <w:t xml:space="preserve"> a)</w:t>
      </w:r>
      <w:r w:rsidRPr="008A1AE4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2D interaction, </w:t>
      </w:r>
      <w:r w:rsidRPr="0024354C">
        <w:rPr>
          <w:rFonts w:ascii="Times New Roman" w:hAnsi="Times New Roman" w:cs="Times New Roman"/>
          <w:sz w:val="24"/>
          <w:szCs w:val="24"/>
        </w:rPr>
        <w:t>the most important amino acids are shown together with their respective numbers.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b</w:t>
      </w:r>
      <w:r w:rsidRPr="0024354C">
        <w:rPr>
          <w:rFonts w:ascii="Times New Roman" w:hAnsi="Times New Roman" w:cs="Times New Roman"/>
          <w:b/>
          <w:bCs/>
          <w:sz w:val="24"/>
          <w:szCs w:val="24"/>
        </w:rPr>
        <w:t>)</w:t>
      </w:r>
      <w:r w:rsidRPr="0024354C">
        <w:rPr>
          <w:rFonts w:ascii="Times New Roman" w:hAnsi="Times New Roman" w:cs="Times New Roman"/>
          <w:sz w:val="24"/>
          <w:szCs w:val="24"/>
        </w:rPr>
        <w:t xml:space="preserve"> The 3D proposed binding mode inside the active site o</w:t>
      </w:r>
      <w:r>
        <w:rPr>
          <w:rFonts w:ascii="Times New Roman" w:hAnsi="Times New Roman" w:cs="Times New Roman"/>
          <w:sz w:val="24"/>
          <w:szCs w:val="24"/>
        </w:rPr>
        <w:t>f COX-2 resulted from docking.</w:t>
      </w:r>
    </w:p>
    <w:p w:rsidR="00DD4EF0" w:rsidRPr="008A1AE4" w:rsidRDefault="00DD4EF0" w:rsidP="00DD4EF0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pacing w:val="6"/>
          <w:sz w:val="24"/>
          <w:szCs w:val="24"/>
        </w:rPr>
      </w:pPr>
      <w:r w:rsidRPr="008A1AE4">
        <w:rPr>
          <w:rFonts w:asciiTheme="majorBidi" w:hAnsiTheme="majorBidi" w:cstheme="majorBidi"/>
          <w:b/>
          <w:bCs/>
          <w:spacing w:val="6"/>
          <w:sz w:val="24"/>
          <w:szCs w:val="24"/>
        </w:rPr>
        <w:t>Scheme 1.</w:t>
      </w:r>
      <w:r w:rsidR="006239DB">
        <w:rPr>
          <w:rFonts w:asciiTheme="majorBidi" w:hAnsiTheme="majorBidi" w:cstheme="majorBidi"/>
          <w:b/>
          <w:bCs/>
          <w:spacing w:val="6"/>
          <w:sz w:val="24"/>
          <w:szCs w:val="24"/>
        </w:rPr>
        <w:t xml:space="preserve"> </w:t>
      </w:r>
      <w:r w:rsidRPr="008A1AE4">
        <w:rPr>
          <w:rFonts w:asciiTheme="majorBidi" w:hAnsiTheme="majorBidi" w:cstheme="majorBidi"/>
          <w:spacing w:val="6"/>
          <w:sz w:val="24"/>
          <w:szCs w:val="24"/>
        </w:rPr>
        <w:t>Reagents and conditions: (a) acetic anhydride, AlCl</w:t>
      </w:r>
      <w:r w:rsidRPr="008A1AE4">
        <w:rPr>
          <w:rFonts w:asciiTheme="majorBidi" w:hAnsiTheme="majorBidi" w:cstheme="majorBidi"/>
          <w:spacing w:val="6"/>
          <w:sz w:val="24"/>
          <w:szCs w:val="24"/>
          <w:vertAlign w:val="subscript"/>
        </w:rPr>
        <w:t>3</w:t>
      </w:r>
      <w:r w:rsidRPr="008A1AE4">
        <w:rPr>
          <w:rFonts w:asciiTheme="majorBidi" w:hAnsiTheme="majorBidi" w:cstheme="majorBidi"/>
          <w:spacing w:val="6"/>
          <w:sz w:val="24"/>
          <w:szCs w:val="24"/>
        </w:rPr>
        <w:t>; (b) Oxone, H</w:t>
      </w:r>
      <w:r w:rsidRPr="00280E3D">
        <w:rPr>
          <w:rFonts w:asciiTheme="majorBidi" w:hAnsiTheme="majorBidi" w:cstheme="majorBidi"/>
          <w:spacing w:val="6"/>
          <w:sz w:val="24"/>
          <w:szCs w:val="24"/>
          <w:vertAlign w:val="subscript"/>
        </w:rPr>
        <w:t>2</w:t>
      </w:r>
      <w:r w:rsidRPr="008A1AE4">
        <w:rPr>
          <w:rFonts w:asciiTheme="majorBidi" w:hAnsiTheme="majorBidi" w:cstheme="majorBidi"/>
          <w:spacing w:val="6"/>
          <w:sz w:val="24"/>
          <w:szCs w:val="24"/>
        </w:rPr>
        <w:t>O, reflux, 18h; (c) 4-substituted phenylhydrazine HCl, ethanol, reflux, 4h; (d) PPA, water bath, 4h; (e) POCl</w:t>
      </w:r>
      <w:r w:rsidRPr="008A1AE4">
        <w:rPr>
          <w:rFonts w:asciiTheme="majorBidi" w:hAnsiTheme="majorBidi" w:cstheme="majorBidi"/>
          <w:spacing w:val="6"/>
          <w:sz w:val="24"/>
          <w:szCs w:val="24"/>
          <w:vertAlign w:val="subscript"/>
        </w:rPr>
        <w:t>3</w:t>
      </w:r>
      <w:r w:rsidRPr="008A1AE4">
        <w:rPr>
          <w:rFonts w:asciiTheme="majorBidi" w:hAnsiTheme="majorBidi" w:cstheme="majorBidi"/>
          <w:spacing w:val="6"/>
          <w:sz w:val="24"/>
          <w:szCs w:val="24"/>
        </w:rPr>
        <w:t>, DMF, RT, overnight.</w:t>
      </w:r>
    </w:p>
    <w:p w:rsidR="00DD4EF0" w:rsidRDefault="00DD4EF0" w:rsidP="00DD4EF0">
      <w:pPr>
        <w:autoSpaceDE w:val="0"/>
        <w:autoSpaceDN w:val="0"/>
        <w:adjustRightInd w:val="0"/>
        <w:spacing w:after="0" w:line="480" w:lineRule="auto"/>
        <w:jc w:val="both"/>
        <w:rPr>
          <w:rFonts w:asciiTheme="majorBidi" w:hAnsiTheme="majorBidi" w:cstheme="majorBidi"/>
          <w:spacing w:val="6"/>
          <w:sz w:val="24"/>
          <w:szCs w:val="24"/>
        </w:rPr>
      </w:pPr>
      <w:r w:rsidRPr="00BB3292">
        <w:rPr>
          <w:rFonts w:asciiTheme="majorBidi" w:hAnsiTheme="majorBidi" w:cstheme="majorBidi"/>
          <w:b/>
          <w:bCs/>
          <w:spacing w:val="6"/>
          <w:sz w:val="24"/>
          <w:szCs w:val="24"/>
        </w:rPr>
        <w:t xml:space="preserve">Scheme 2. </w:t>
      </w:r>
      <w:r w:rsidRPr="00BB3292">
        <w:rPr>
          <w:rFonts w:asciiTheme="majorBidi" w:hAnsiTheme="majorBidi" w:cstheme="majorBidi"/>
          <w:spacing w:val="6"/>
          <w:sz w:val="24"/>
          <w:szCs w:val="24"/>
        </w:rPr>
        <w:t>Reagents and conditions: (a) 4-chloro-</w:t>
      </w:r>
      <w:r w:rsidRPr="00387CB1">
        <w:rPr>
          <w:rFonts w:asciiTheme="majorBidi" w:hAnsiTheme="majorBidi" w:cstheme="majorBidi"/>
          <w:i/>
          <w:iCs/>
          <w:spacing w:val="6"/>
          <w:sz w:val="24"/>
          <w:szCs w:val="24"/>
        </w:rPr>
        <w:t>o</w:t>
      </w:r>
      <w:r w:rsidRPr="00BB3292">
        <w:rPr>
          <w:rFonts w:asciiTheme="majorBidi" w:hAnsiTheme="majorBidi" w:cstheme="majorBidi"/>
          <w:spacing w:val="6"/>
          <w:sz w:val="24"/>
          <w:szCs w:val="24"/>
        </w:rPr>
        <w:t>-phenylenediamine, Na</w:t>
      </w:r>
      <w:r w:rsidRPr="00BB3292">
        <w:rPr>
          <w:rFonts w:asciiTheme="majorBidi" w:hAnsiTheme="majorBidi" w:cstheme="majorBidi"/>
          <w:spacing w:val="6"/>
          <w:sz w:val="24"/>
          <w:szCs w:val="24"/>
          <w:vertAlign w:val="subscript"/>
        </w:rPr>
        <w:t>2</w:t>
      </w:r>
      <w:r w:rsidRPr="00BB3292">
        <w:rPr>
          <w:rFonts w:asciiTheme="majorBidi" w:hAnsiTheme="majorBidi" w:cstheme="majorBidi"/>
          <w:spacing w:val="6"/>
          <w:sz w:val="24"/>
          <w:szCs w:val="24"/>
        </w:rPr>
        <w:t>S</w:t>
      </w:r>
      <w:r w:rsidRPr="00BB3292">
        <w:rPr>
          <w:rFonts w:asciiTheme="majorBidi" w:hAnsiTheme="majorBidi" w:cstheme="majorBidi"/>
          <w:spacing w:val="6"/>
          <w:sz w:val="24"/>
          <w:szCs w:val="24"/>
          <w:vertAlign w:val="subscript"/>
        </w:rPr>
        <w:t>2</w:t>
      </w:r>
      <w:r w:rsidRPr="00BB3292">
        <w:rPr>
          <w:rFonts w:asciiTheme="majorBidi" w:hAnsiTheme="majorBidi" w:cstheme="majorBidi"/>
          <w:spacing w:val="6"/>
          <w:sz w:val="24"/>
          <w:szCs w:val="24"/>
        </w:rPr>
        <w:t>O</w:t>
      </w:r>
      <w:r w:rsidRPr="00BB3292">
        <w:rPr>
          <w:rFonts w:asciiTheme="majorBidi" w:hAnsiTheme="majorBidi" w:cstheme="majorBidi"/>
          <w:spacing w:val="6"/>
          <w:sz w:val="24"/>
          <w:szCs w:val="24"/>
          <w:vertAlign w:val="subscript"/>
        </w:rPr>
        <w:t>5</w:t>
      </w:r>
      <w:r w:rsidRPr="00BB3292">
        <w:rPr>
          <w:rFonts w:asciiTheme="majorBidi" w:hAnsiTheme="majorBidi" w:cstheme="majorBidi"/>
          <w:spacing w:val="6"/>
          <w:sz w:val="24"/>
          <w:szCs w:val="24"/>
        </w:rPr>
        <w:t>, DMF, reflux, 6h; (b) 4-substituted phenylhydrazine HCl, ethanol, reflux, 4</w:t>
      </w:r>
      <w:r w:rsidR="00387CB1">
        <w:rPr>
          <w:rFonts w:asciiTheme="majorBidi" w:hAnsiTheme="majorBidi" w:cstheme="majorBidi"/>
          <w:spacing w:val="6"/>
          <w:sz w:val="24"/>
          <w:szCs w:val="24"/>
        </w:rPr>
        <w:t>-6</w:t>
      </w:r>
      <w:r w:rsidRPr="00BB3292">
        <w:rPr>
          <w:rFonts w:asciiTheme="majorBidi" w:hAnsiTheme="majorBidi" w:cstheme="majorBidi"/>
          <w:spacing w:val="6"/>
          <w:sz w:val="24"/>
          <w:szCs w:val="24"/>
        </w:rPr>
        <w:t>h.; (c) hydroxylamine, ethanol, few drops of pyridine, reflux, 4</w:t>
      </w:r>
      <w:r w:rsidR="00387CB1">
        <w:rPr>
          <w:rFonts w:asciiTheme="majorBidi" w:hAnsiTheme="majorBidi" w:cstheme="majorBidi"/>
          <w:spacing w:val="6"/>
          <w:sz w:val="24"/>
          <w:szCs w:val="24"/>
        </w:rPr>
        <w:t>-6</w:t>
      </w:r>
      <w:r w:rsidRPr="00BB3292">
        <w:rPr>
          <w:rFonts w:asciiTheme="majorBidi" w:hAnsiTheme="majorBidi" w:cstheme="majorBidi"/>
          <w:spacing w:val="6"/>
          <w:sz w:val="24"/>
          <w:szCs w:val="24"/>
        </w:rPr>
        <w:t xml:space="preserve">h. </w:t>
      </w:r>
      <w:bookmarkStart w:id="0" w:name="_GoBack"/>
      <w:bookmarkEnd w:id="0"/>
    </w:p>
    <w:sectPr w:rsidR="00DD4EF0" w:rsidSect="007A0180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DI0MLc0NDQzs7A0NTJV0lEKTi0uzszPAykwrAUA0jCoFywAAAA="/>
  </w:docVars>
  <w:rsids>
    <w:rsidRoot w:val="00DD4EF0"/>
    <w:rsid w:val="00387CB1"/>
    <w:rsid w:val="005D5B06"/>
    <w:rsid w:val="00615492"/>
    <w:rsid w:val="006239DB"/>
    <w:rsid w:val="007A0180"/>
    <w:rsid w:val="007B4266"/>
    <w:rsid w:val="00C54802"/>
    <w:rsid w:val="00CD37BD"/>
    <w:rsid w:val="00D850B2"/>
    <w:rsid w:val="00DD4EF0"/>
    <w:rsid w:val="00F8371A"/>
    <w:rsid w:val="00FA2590"/>
    <w:rsid w:val="00FC4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9E2A09A-D075-4CDE-8E01-612ABA220F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D4E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37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37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177</Words>
  <Characters>1011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eman</dc:creator>
  <cp:keywords/>
  <dc:description/>
  <cp:lastModifiedBy>LaptopMarket</cp:lastModifiedBy>
  <cp:revision>4</cp:revision>
  <dcterms:created xsi:type="dcterms:W3CDTF">2019-09-13T09:22:00Z</dcterms:created>
  <dcterms:modified xsi:type="dcterms:W3CDTF">2019-09-13T09:23:00Z</dcterms:modified>
</cp:coreProperties>
</file>